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муниципальное бюджетное дошкольное образовательное учреждение</w:t>
      </w:r>
    </w:p>
    <w:p>
      <w:pPr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детский сад общеразвивающего вида №12 </w:t>
      </w:r>
    </w:p>
    <w:p>
      <w:pPr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города Новошахтинска</w:t>
      </w:r>
    </w:p>
    <w:p>
      <w:pPr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Принято:                                                                 Утверждено: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Педагогическим советом                                     Приказом по МБДОУ д/с № 12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МБДОУ д/с №12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от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 12.04.2024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№ 6                                 от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  12.04.2024           №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49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Заведующий  МБДОУ д/с №12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Семкова М.А.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Отчет о результатах самообследования</w:t>
      </w:r>
    </w:p>
    <w:p>
      <w:pPr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За 2023 год</w:t>
      </w:r>
    </w:p>
    <w:p>
      <w:pPr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Общие сведения об образовательной организации</w:t>
      </w:r>
    </w:p>
    <w:tbl>
      <w:tblPr/>
      <w:tblGrid>
        <w:gridCol w:w="3665"/>
        <w:gridCol w:w="4977"/>
      </w:tblGrid>
      <w:tr>
        <w:trPr>
          <w:trHeight w:val="1" w:hRule="atLeast"/>
          <w:jc w:val="left"/>
        </w:trPr>
        <w:tc>
          <w:tcPr>
            <w:tcW w:w="366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Наименование образовательной организации</w:t>
            </w:r>
          </w:p>
        </w:tc>
        <w:tc>
          <w:tcPr>
            <w:tcW w:w="49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Муниципальное бюджетное дошкольное образовательное учреждение детский сад общеразвивающего вида №12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Золушка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города Новошахтинска (МБДОУ д/с12)</w:t>
            </w:r>
          </w:p>
        </w:tc>
      </w:tr>
      <w:tr>
        <w:trPr>
          <w:trHeight w:val="1" w:hRule="atLeast"/>
          <w:jc w:val="left"/>
        </w:trPr>
        <w:tc>
          <w:tcPr>
            <w:tcW w:w="366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Руководитель</w:t>
            </w:r>
          </w:p>
        </w:tc>
        <w:tc>
          <w:tcPr>
            <w:tcW w:w="49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Марина Александровна Семкова</w:t>
            </w:r>
          </w:p>
        </w:tc>
      </w:tr>
      <w:tr>
        <w:trPr>
          <w:trHeight w:val="1" w:hRule="atLeast"/>
          <w:jc w:val="left"/>
        </w:trPr>
        <w:tc>
          <w:tcPr>
            <w:tcW w:w="366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Адрес организации</w:t>
            </w:r>
          </w:p>
        </w:tc>
        <w:tc>
          <w:tcPr>
            <w:tcW w:w="49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346905.,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г. Новошахтинск, ул. 4-я Пятилетка, д. 53.</w:t>
            </w:r>
          </w:p>
        </w:tc>
      </w:tr>
      <w:tr>
        <w:trPr>
          <w:trHeight w:val="1" w:hRule="atLeast"/>
          <w:jc w:val="left"/>
        </w:trPr>
        <w:tc>
          <w:tcPr>
            <w:tcW w:w="366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Телефон, факс</w:t>
            </w:r>
          </w:p>
        </w:tc>
        <w:tc>
          <w:tcPr>
            <w:tcW w:w="49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8(86369)3-21-26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8(86369)3-24-26</w:t>
            </w:r>
          </w:p>
        </w:tc>
      </w:tr>
      <w:tr>
        <w:trPr>
          <w:trHeight w:val="1" w:hRule="atLeast"/>
          <w:jc w:val="left"/>
        </w:trPr>
        <w:tc>
          <w:tcPr>
            <w:tcW w:w="366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Адрес электронной почты</w:t>
            </w:r>
          </w:p>
        </w:tc>
        <w:tc>
          <w:tcPr>
            <w:tcW w:w="49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Mbdou1261@yandex.ru</w:t>
            </w:r>
          </w:p>
        </w:tc>
      </w:tr>
      <w:tr>
        <w:trPr>
          <w:trHeight w:val="1" w:hRule="atLeast"/>
          <w:jc w:val="left"/>
        </w:trPr>
        <w:tc>
          <w:tcPr>
            <w:tcW w:w="366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Сайт учреждения</w:t>
            </w:r>
          </w:p>
        </w:tc>
        <w:tc>
          <w:tcPr>
            <w:tcW w:w="49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hyperlink xmlns:r="http://schemas.openxmlformats.org/officeDocument/2006/relationships" r:id="docRId0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8"/>
                  <w:u w:val="single"/>
                  <w:shd w:fill="auto" w:val="clear"/>
                </w:rPr>
                <w:t xml:space="preserve">https://zolosh12.tvoysadik.ru</w:t>
              </w:r>
            </w:hyperlink>
          </w:p>
        </w:tc>
      </w:tr>
      <w:tr>
        <w:trPr>
          <w:trHeight w:val="1" w:hRule="atLeast"/>
          <w:jc w:val="left"/>
        </w:trPr>
        <w:tc>
          <w:tcPr>
            <w:tcW w:w="366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Учредитель</w:t>
            </w:r>
          </w:p>
        </w:tc>
        <w:tc>
          <w:tcPr>
            <w:tcW w:w="49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Управление образования Администрации города Новошахтинска</w:t>
            </w:r>
          </w:p>
        </w:tc>
      </w:tr>
      <w:tr>
        <w:trPr>
          <w:trHeight w:val="1" w:hRule="atLeast"/>
          <w:jc w:val="left"/>
        </w:trPr>
        <w:tc>
          <w:tcPr>
            <w:tcW w:w="366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Дата создания</w:t>
            </w:r>
          </w:p>
        </w:tc>
        <w:tc>
          <w:tcPr>
            <w:tcW w:w="49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66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Лицензия</w:t>
            </w:r>
          </w:p>
        </w:tc>
        <w:tc>
          <w:tcPr>
            <w:tcW w:w="49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От 21.08.2013г.№3612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</w:tbl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МБДОУ д/с №12 расположен по адресу: 346905, 4-я Пятилетка,53, г. Новошахтинск Ростовская область.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Земельный участок МБДОУ д/с №12 соответствует требованиям СанПин 2.3/2.4.3590-20, на территории имеются: участки для проведения занятий по ПДД, цветники, огороды. Участки озеленены.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Цель деятельности дошкольного учреждения- гармоничное развитие на основе общекультурных, национальных ценностей, осуществление образовательной деятельности по реализации общеобразовательных программ дошкольного образования, присмотр и уход за детьми.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Предметом деятельности дошкольного учреждения является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воспитанников.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Режим функционирования ДОО: рабочая неделя- пятидневная, с понедельника по пятницу.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Режим пребывания детей ДОО: 12 часов, с 7:00 до 19:00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Обучение ведется на русском языке.</w:t>
      </w:r>
    </w:p>
    <w:p>
      <w:pPr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Аналитическая часть.</w:t>
      </w:r>
    </w:p>
    <w:p>
      <w:pPr>
        <w:numPr>
          <w:ilvl w:val="0"/>
          <w:numId w:val="28"/>
        </w:numPr>
        <w:spacing w:before="0" w:after="160" w:line="259"/>
        <w:ind w:right="0" w:left="1800" w:hanging="72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Оценка системы управления организации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Управление дошкольным образованием осуществляется в соответствии с действующим законодательством и Уставом детского сада.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Управление дошкольным учреждением строится на принципах единоначалия и коллегиальности. Коллегиальными органами управления являются: Управляющий совет, педагогический совет, общее собрание работников. Единоличным исполнительным органом является руководитель- Заведующий.</w:t>
      </w:r>
    </w:p>
    <w:tbl>
      <w:tblPr/>
      <w:tblGrid>
        <w:gridCol w:w="4672"/>
        <w:gridCol w:w="4673"/>
      </w:tblGrid>
      <w:tr>
        <w:trPr>
          <w:trHeight w:val="1" w:hRule="atLeast"/>
          <w:jc w:val="left"/>
        </w:trPr>
        <w:tc>
          <w:tcPr>
            <w:tcW w:w="46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Наименование органа</w:t>
            </w:r>
          </w:p>
        </w:tc>
        <w:tc>
          <w:tcPr>
            <w:tcW w:w="46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Функции</w:t>
            </w:r>
          </w:p>
        </w:tc>
      </w:tr>
      <w:tr>
        <w:trPr>
          <w:trHeight w:val="1" w:hRule="atLeast"/>
          <w:jc w:val="left"/>
        </w:trPr>
        <w:tc>
          <w:tcPr>
            <w:tcW w:w="46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Заведующий</w:t>
            </w:r>
          </w:p>
        </w:tc>
        <w:tc>
          <w:tcPr>
            <w:tcW w:w="46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Контролирует работу организационно- методических структур, утверждает штатное расписание, отчетную документацию ДОО, осуществляет общее руководство дошкольным учреждением.</w:t>
            </w:r>
          </w:p>
        </w:tc>
      </w:tr>
      <w:tr>
        <w:trPr>
          <w:trHeight w:val="1" w:hRule="atLeast"/>
          <w:jc w:val="left"/>
        </w:trPr>
        <w:tc>
          <w:tcPr>
            <w:tcW w:w="46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Управляющий совет</w:t>
            </w:r>
          </w:p>
        </w:tc>
        <w:tc>
          <w:tcPr>
            <w:tcW w:w="46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Рассматривает вопросы: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развития образовательной организации;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финансово- хозяйственной деятельности;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материально- технического обеспечения.</w:t>
            </w:r>
          </w:p>
        </w:tc>
      </w:tr>
      <w:tr>
        <w:trPr>
          <w:trHeight w:val="1" w:hRule="atLeast"/>
          <w:jc w:val="left"/>
        </w:trPr>
        <w:tc>
          <w:tcPr>
            <w:tcW w:w="46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Педагогический совет</w:t>
            </w:r>
          </w:p>
        </w:tc>
        <w:tc>
          <w:tcPr>
            <w:tcW w:w="46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Осуществляет текущее руководство образовательной деятельности детского сада, в том числе рассматривает вопросы: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развитие образовательных услуг;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регламентации образовательных отношений;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материально- технического обеспечения образовательного процесса;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аттестации, повышении квалификации педагогических работников;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координации деятельности методических объединений.</w:t>
            </w:r>
          </w:p>
        </w:tc>
      </w:tr>
      <w:tr>
        <w:trPr>
          <w:trHeight w:val="1" w:hRule="atLeast"/>
          <w:jc w:val="left"/>
        </w:trPr>
        <w:tc>
          <w:tcPr>
            <w:tcW w:w="46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Общее собрание работников</w:t>
            </w:r>
          </w:p>
        </w:tc>
        <w:tc>
          <w:tcPr>
            <w:tcW w:w="46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Реализует право работников участвовать в управлении образовательной организации, в том числе: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Участвовать в разработке и принятии коллективного договора, правил трудового распорядка, изменений и дополнений к ним;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принимать локальные акты, которые регламентируют деятельность образовательной организации и связаны с правилами и обязанностями работников;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разрешать конфликтные ситуации между работниками и администрацией образовательной организации;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вносить предложения по корректировке плана мероприятий организации, совершенствованию ее работы и развитию материальной базы.</w:t>
            </w:r>
          </w:p>
        </w:tc>
      </w:tr>
    </w:tbl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Структура и система управления соответствует специфике деятельности дошкольного учреждения. По итогам 2023 года система управления дошкольного учреждения оценивается как эффективная, позволяющая учесть мнение работников и всех участников образовательных отношений. В следующем году изменение системы управления не планируется.</w:t>
      </w:r>
    </w:p>
    <w:p>
      <w:pPr>
        <w:numPr>
          <w:ilvl w:val="0"/>
          <w:numId w:val="42"/>
        </w:numPr>
        <w:spacing w:before="0" w:after="160" w:line="259"/>
        <w:ind w:right="0" w:left="1800" w:hanging="72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Оценка образовательной деятельности.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Образовательная деятельность в дошкольном учреждении организована в соответствии с Федеральным законом от 29.12.2012 №273- ФЗ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 образовании в Российской Федерации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ФГОС дошкольного образования. С 01.01.2021 года МБДОУ д/с №12 функционирует в соответствии с требованиями СП 2.4.3648-20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Санитарно-эпидемиологические требования к организации воспитания и обучения, отдыха и оздоровления детей и молодежи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 с 01.03.2023 – дополнительно к требованиям СанПин 1.2.3685-21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Гигиенические нормативы и требования к обеспечению безопасности и (или) безвредности для человека факторов среды обитания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Образовательная деятельность ведется на основании утвержденной основной образовательной программы дошкольного образования, которая составлена в соответствии с ФГОС дошкольного образования, санитарно-эпидемиологическими правилами и нормативами.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Для выполнения требований норм Федерального закона от 24.09.2022 №71-ФЗ МБДОУ д/с №12 провел организационные мероприятия по внедрению федеральной образовательной программы дошкольного образования, утвержденной приказом Министерством просвещения России от 25.11.2022 №1028 (далее – ФОП ДО ), в соответствии с утвержденной дорожной картой. Для этого создали рабочую группу в составе заведующего, старшего воспитателя, воспитателей. 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Результаты: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утвердили новую основную образовательную программу дошкольного образования МБДОУ д/с №12 (далее- ООП ДО), разработанную на основе ФГОС ДО и ФОП ДО и ввели в действие с 01.09.2023;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скорректировали план-график повышения квалификации педагогических и управленческих кадров, запланировали обучение работников по вопросам применения ФОП ДО;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провели информационно-разъяснительную работу с родителями (Законными представителями).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Дошкольное учреждение посещают 53 воспитанника в возрасте от 2 до 7 лет. В детском саду сформировано 3 группы общеразвивающей направленности. Из них: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первая младшая группа – 18 детей;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младше-средняя группа – 18 детей;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старше-подготовительная к школе группа – 17 детей.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Воспитательная работа.</w:t>
      </w:r>
    </w:p>
    <w:p>
      <w:pPr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 01.09.2023 года детское учреждение реализует рабочую программу воспитания и календарный план воспитательной работы, которые являются частью основной образовательной программы дошкольного образования. 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 отчетный период реализации программы воспитания родители (законные представители) выражают удовлетворенность воспитательным процессом в дошкольном учреждении. Вместе с тем, родители высказали пожелания по введению мероприятий в календарный план воспитательной работы детского сада. Предложения родителей будут рассмотрены и при наличии возможностей детского сада включены в календарный план воспитательной работы на второе полугодие 2024г.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Чтобы выбрать стратегию воспитательной работы, в 2023 году проводился анализ состава семей воспитанников.</w:t>
      </w:r>
    </w:p>
    <w:p>
      <w:pPr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Характеристика семей по составу</w:t>
      </w:r>
    </w:p>
    <w:tbl>
      <w:tblPr/>
      <w:tblGrid>
        <w:gridCol w:w="3115"/>
        <w:gridCol w:w="3115"/>
        <w:gridCol w:w="3115"/>
      </w:tblGrid>
      <w:tr>
        <w:trPr>
          <w:trHeight w:val="1" w:hRule="atLeast"/>
          <w:jc w:val="left"/>
        </w:trPr>
        <w:tc>
          <w:tcPr>
            <w:tcW w:w="31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Состав семьи</w:t>
            </w:r>
          </w:p>
        </w:tc>
        <w:tc>
          <w:tcPr>
            <w:tcW w:w="31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Количество семей</w:t>
            </w:r>
          </w:p>
        </w:tc>
        <w:tc>
          <w:tcPr>
            <w:tcW w:w="31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Процент от общего количества семей воспитанников</w:t>
            </w:r>
          </w:p>
        </w:tc>
      </w:tr>
      <w:tr>
        <w:trPr>
          <w:trHeight w:val="1" w:hRule="atLeast"/>
          <w:jc w:val="left"/>
        </w:trPr>
        <w:tc>
          <w:tcPr>
            <w:tcW w:w="31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Полная</w:t>
            </w:r>
          </w:p>
        </w:tc>
        <w:tc>
          <w:tcPr>
            <w:tcW w:w="31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40</w:t>
            </w:r>
          </w:p>
        </w:tc>
        <w:tc>
          <w:tcPr>
            <w:tcW w:w="31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75%</w:t>
            </w:r>
          </w:p>
        </w:tc>
      </w:tr>
      <w:tr>
        <w:trPr>
          <w:trHeight w:val="1" w:hRule="atLeast"/>
          <w:jc w:val="left"/>
        </w:trPr>
        <w:tc>
          <w:tcPr>
            <w:tcW w:w="31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Неполная с матерью</w:t>
            </w:r>
          </w:p>
        </w:tc>
        <w:tc>
          <w:tcPr>
            <w:tcW w:w="31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11</w:t>
            </w:r>
          </w:p>
        </w:tc>
        <w:tc>
          <w:tcPr>
            <w:tcW w:w="31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20%</w:t>
            </w:r>
          </w:p>
        </w:tc>
      </w:tr>
      <w:tr>
        <w:trPr>
          <w:trHeight w:val="1" w:hRule="atLeast"/>
          <w:jc w:val="left"/>
        </w:trPr>
        <w:tc>
          <w:tcPr>
            <w:tcW w:w="31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Неполная с отцом</w:t>
            </w:r>
          </w:p>
        </w:tc>
        <w:tc>
          <w:tcPr>
            <w:tcW w:w="31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</w:p>
        </w:tc>
        <w:tc>
          <w:tcPr>
            <w:tcW w:w="31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</w:p>
        </w:tc>
      </w:tr>
      <w:tr>
        <w:trPr>
          <w:trHeight w:val="1" w:hRule="atLeast"/>
          <w:jc w:val="left"/>
        </w:trPr>
        <w:tc>
          <w:tcPr>
            <w:tcW w:w="31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Оформлено опекунство</w:t>
            </w:r>
          </w:p>
        </w:tc>
        <w:tc>
          <w:tcPr>
            <w:tcW w:w="31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31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4%</w:t>
            </w:r>
          </w:p>
        </w:tc>
      </w:tr>
      <w:tr>
        <w:trPr>
          <w:trHeight w:val="1" w:hRule="atLeast"/>
          <w:jc w:val="left"/>
        </w:trPr>
        <w:tc>
          <w:tcPr>
            <w:tcW w:w="31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Участники СВО</w:t>
            </w:r>
          </w:p>
        </w:tc>
        <w:tc>
          <w:tcPr>
            <w:tcW w:w="31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</w:p>
        </w:tc>
        <w:tc>
          <w:tcPr>
            <w:tcW w:w="31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1%</w:t>
            </w:r>
          </w:p>
        </w:tc>
      </w:tr>
    </w:tbl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Характеристика семей по количеству детей</w:t>
      </w:r>
    </w:p>
    <w:tbl>
      <w:tblPr/>
      <w:tblGrid>
        <w:gridCol w:w="3115"/>
        <w:gridCol w:w="3115"/>
        <w:gridCol w:w="3115"/>
      </w:tblGrid>
      <w:tr>
        <w:trPr>
          <w:trHeight w:val="1" w:hRule="atLeast"/>
          <w:jc w:val="left"/>
        </w:trPr>
        <w:tc>
          <w:tcPr>
            <w:tcW w:w="31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Количество детей в семье</w:t>
            </w:r>
          </w:p>
        </w:tc>
        <w:tc>
          <w:tcPr>
            <w:tcW w:w="31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Количество семей</w:t>
            </w:r>
          </w:p>
        </w:tc>
        <w:tc>
          <w:tcPr>
            <w:tcW w:w="31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Процент от общего количества семей воспитанников</w:t>
            </w:r>
          </w:p>
        </w:tc>
      </w:tr>
      <w:tr>
        <w:trPr>
          <w:trHeight w:val="1" w:hRule="atLeast"/>
          <w:jc w:val="left"/>
        </w:trPr>
        <w:tc>
          <w:tcPr>
            <w:tcW w:w="31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Один ребенок</w:t>
            </w:r>
          </w:p>
        </w:tc>
        <w:tc>
          <w:tcPr>
            <w:tcW w:w="31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16</w:t>
            </w:r>
          </w:p>
        </w:tc>
        <w:tc>
          <w:tcPr>
            <w:tcW w:w="31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31%</w:t>
            </w:r>
          </w:p>
        </w:tc>
      </w:tr>
      <w:tr>
        <w:trPr>
          <w:trHeight w:val="1" w:hRule="atLeast"/>
          <w:jc w:val="left"/>
        </w:trPr>
        <w:tc>
          <w:tcPr>
            <w:tcW w:w="31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Два ребенка</w:t>
            </w:r>
          </w:p>
        </w:tc>
        <w:tc>
          <w:tcPr>
            <w:tcW w:w="31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19</w:t>
            </w:r>
          </w:p>
        </w:tc>
        <w:tc>
          <w:tcPr>
            <w:tcW w:w="31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36%</w:t>
            </w:r>
          </w:p>
        </w:tc>
      </w:tr>
      <w:tr>
        <w:trPr>
          <w:trHeight w:val="1" w:hRule="atLeast"/>
          <w:jc w:val="left"/>
        </w:trPr>
        <w:tc>
          <w:tcPr>
            <w:tcW w:w="31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Три ребенка</w:t>
            </w:r>
          </w:p>
        </w:tc>
        <w:tc>
          <w:tcPr>
            <w:tcW w:w="31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10</w:t>
            </w:r>
          </w:p>
        </w:tc>
        <w:tc>
          <w:tcPr>
            <w:tcW w:w="31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19%</w:t>
            </w:r>
          </w:p>
        </w:tc>
      </w:tr>
      <w:tr>
        <w:trPr>
          <w:trHeight w:val="1" w:hRule="atLeast"/>
          <w:jc w:val="left"/>
        </w:trPr>
        <w:tc>
          <w:tcPr>
            <w:tcW w:w="31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Более трех детей</w:t>
            </w:r>
          </w:p>
        </w:tc>
        <w:tc>
          <w:tcPr>
            <w:tcW w:w="31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8</w:t>
            </w:r>
          </w:p>
        </w:tc>
        <w:tc>
          <w:tcPr>
            <w:tcW w:w="31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14%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</w:tbl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Воспитательная работа строится с учетом индивидуальных особенностей детей, с использованием разнообразных форм и методов, в тесной взаимосвязи воспитателей, специалистов и родителей (законных представителей). Детям из неполных семей уделяется большое внимание в первые месяцы после зачисления в дошкольное учреждение.</w:t>
      </w:r>
    </w:p>
    <w:p>
      <w:pPr>
        <w:numPr>
          <w:ilvl w:val="0"/>
          <w:numId w:val="76"/>
        </w:numPr>
        <w:spacing w:before="0" w:after="160" w:line="259"/>
        <w:ind w:right="0" w:left="1800" w:hanging="72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Оценка содержания и качества подготовки воспитанников.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Уровень развития детей анализируется по итогам педагогической диагностики. Формы проведения диагностики: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диагностические занятия (по каждому разделу программы);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диагностические срезы;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наблюдения, итоговые занятия.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Разработаны диагностические карты освоения основной образовательной программы дошкольного образования детского сада (ООП ДО) в каждой возрастной группе. Карты включают анализ уровня развития целевых ориентиров детского развития и качества освоения образовательных областей. Так, результат качества освоения ООП ДО на конец 2023 года выглядит следующим образом</w:t>
      </w:r>
    </w:p>
    <w:tbl>
      <w:tblPr/>
      <w:tblGrid>
        <w:gridCol w:w="2262"/>
        <w:gridCol w:w="781"/>
        <w:gridCol w:w="718"/>
        <w:gridCol w:w="572"/>
        <w:gridCol w:w="783"/>
        <w:gridCol w:w="772"/>
        <w:gridCol w:w="573"/>
        <w:gridCol w:w="771"/>
        <w:gridCol w:w="829"/>
        <w:gridCol w:w="598"/>
        <w:gridCol w:w="898"/>
        <w:gridCol w:w="890"/>
        <w:gridCol w:w="1979"/>
      </w:tblGrid>
      <w:tr>
        <w:trPr>
          <w:trHeight w:val="1" w:hRule="atLeast"/>
          <w:jc w:val="left"/>
        </w:trPr>
        <w:tc>
          <w:tcPr>
            <w:tcW w:w="22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71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Выше нормы </w:t>
            </w:r>
          </w:p>
        </w:tc>
        <w:tc>
          <w:tcPr>
            <w:tcW w:w="2128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Норма</w:t>
            </w:r>
          </w:p>
        </w:tc>
        <w:tc>
          <w:tcPr>
            <w:tcW w:w="2198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Ниже нормы</w:t>
            </w:r>
          </w:p>
        </w:tc>
        <w:tc>
          <w:tcPr>
            <w:tcW w:w="3767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Итого</w:t>
            </w:r>
          </w:p>
        </w:tc>
      </w:tr>
      <w:tr>
        <w:trPr>
          <w:trHeight w:val="1" w:hRule="atLeast"/>
          <w:jc w:val="left"/>
        </w:trPr>
        <w:tc>
          <w:tcPr>
            <w:tcW w:w="22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99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Кол-во</w:t>
            </w:r>
          </w:p>
        </w:tc>
        <w:tc>
          <w:tcPr>
            <w:tcW w:w="5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%</w:t>
            </w:r>
          </w:p>
        </w:tc>
        <w:tc>
          <w:tcPr>
            <w:tcW w:w="155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Кол-во</w:t>
            </w:r>
          </w:p>
        </w:tc>
        <w:tc>
          <w:tcPr>
            <w:tcW w:w="5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%</w:t>
            </w:r>
          </w:p>
        </w:tc>
        <w:tc>
          <w:tcPr>
            <w:tcW w:w="160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Кол-во</w:t>
            </w:r>
          </w:p>
        </w:tc>
        <w:tc>
          <w:tcPr>
            <w:tcW w:w="5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%</w:t>
            </w:r>
          </w:p>
        </w:tc>
        <w:tc>
          <w:tcPr>
            <w:tcW w:w="8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Кол-во</w:t>
            </w:r>
          </w:p>
        </w:tc>
        <w:tc>
          <w:tcPr>
            <w:tcW w:w="2869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%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воспитанников в пределах нормы</w:t>
            </w:r>
          </w:p>
        </w:tc>
      </w:tr>
      <w:tr>
        <w:trPr>
          <w:trHeight w:val="1" w:hRule="atLeast"/>
          <w:jc w:val="left"/>
        </w:trPr>
        <w:tc>
          <w:tcPr>
            <w:tcW w:w="22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9</w:t>
            </w:r>
          </w:p>
        </w:tc>
        <w:tc>
          <w:tcPr>
            <w:tcW w:w="129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17</w:t>
            </w:r>
          </w:p>
        </w:tc>
        <w:tc>
          <w:tcPr>
            <w:tcW w:w="7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39</w:t>
            </w:r>
          </w:p>
        </w:tc>
        <w:tc>
          <w:tcPr>
            <w:tcW w:w="134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73</w:t>
            </w:r>
          </w:p>
        </w:tc>
        <w:tc>
          <w:tcPr>
            <w:tcW w:w="7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5</w:t>
            </w:r>
          </w:p>
        </w:tc>
        <w:tc>
          <w:tcPr>
            <w:tcW w:w="142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10</w:t>
            </w:r>
          </w:p>
        </w:tc>
        <w:tc>
          <w:tcPr>
            <w:tcW w:w="1788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53</w:t>
            </w:r>
          </w:p>
        </w:tc>
        <w:tc>
          <w:tcPr>
            <w:tcW w:w="19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73</w:t>
            </w:r>
          </w:p>
        </w:tc>
      </w:tr>
      <w:tr>
        <w:trPr>
          <w:trHeight w:val="1" w:hRule="atLeast"/>
          <w:jc w:val="left"/>
        </w:trPr>
        <w:tc>
          <w:tcPr>
            <w:tcW w:w="22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Качество освоения образовательных областей</w:t>
            </w:r>
          </w:p>
        </w:tc>
        <w:tc>
          <w:tcPr>
            <w:tcW w:w="7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10</w:t>
            </w:r>
          </w:p>
        </w:tc>
        <w:tc>
          <w:tcPr>
            <w:tcW w:w="129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19</w:t>
            </w:r>
          </w:p>
        </w:tc>
        <w:tc>
          <w:tcPr>
            <w:tcW w:w="7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40</w:t>
            </w:r>
          </w:p>
        </w:tc>
        <w:tc>
          <w:tcPr>
            <w:tcW w:w="134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75</w:t>
            </w:r>
          </w:p>
        </w:tc>
        <w:tc>
          <w:tcPr>
            <w:tcW w:w="7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</w:p>
        </w:tc>
        <w:tc>
          <w:tcPr>
            <w:tcW w:w="142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6</w:t>
            </w:r>
          </w:p>
        </w:tc>
        <w:tc>
          <w:tcPr>
            <w:tcW w:w="1788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53</w:t>
            </w:r>
          </w:p>
        </w:tc>
        <w:tc>
          <w:tcPr>
            <w:tcW w:w="19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75</w:t>
            </w:r>
          </w:p>
        </w:tc>
      </w:tr>
    </w:tbl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Результаты педагогического анализа уровня развития детей показывают преобладание с высокими и средними уровнями развития по сравнению с началом учебного года, что говорит о положительной  результативности образовательного процесса в ДОО.</w:t>
      </w:r>
    </w:p>
    <w:p>
      <w:pPr>
        <w:numPr>
          <w:ilvl w:val="0"/>
          <w:numId w:val="90"/>
        </w:numPr>
        <w:spacing w:before="0" w:after="160" w:line="259"/>
        <w:ind w:right="0" w:left="1800" w:hanging="72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Оценка организации учебного процесса</w:t>
      </w:r>
    </w:p>
    <w:p>
      <w:pPr>
        <w:spacing w:before="0" w:after="160" w:line="259"/>
        <w:ind w:right="0" w:left="180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(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воспитательно- образовательного процесса).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основе образовательного процесса в ДОО лежит взаимодействие педагогических работников, администрации и родителей. Основными участниками образовательного процесса являются дети, родители, педагоги.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Основные формы организации образовательного процесса: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совместная деятельность педагогического работника и воспитанников в рамках организационной образовательной  деятельности по освоению образовательной программы;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самостоятельная деятельность воспитанников под наблюдением педагогического работника.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рамках образовательной деятельности занятия ведутся в подгруппам. Продолжительность занятий соответствует СанПин 1.2.3685-21.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первой младшей группе -10 минут;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средне-старшей группе – 20-25 минут;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подготовительной группе – до 30 минут.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Между занятиями в рамках образовательной деятельности предусмотрены перерывы продолжительностью не менее 10 минут. 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Основной формой занятия является игра. Образовательная деятельность с детьми строится с учетом индивидуальных особенностей детей и их способностей. Выявление и развитие способностей воспитанников осуществляется в любых формах образовательного процесса.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детском саду для решения образовательных задач используются  новые формы организации процесса образования  (проектная деятельность, образовательная ситуация, проблемно-обучающие ситуации в рамках интеграции образовательных областей и другое), так и традиционных (фронтальные, подгрупповые, индивидуальные занятия).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Занятие рассматривается как дело, занимательное и интересное детям , развивающее их. Деятельность направлена на освоение детьми одной или нескольких областей, или их интеграцию с использованием разнообразных педагогически обоснованных форм и методов работы, выбор которых осуществляется педагогом.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МБДОУ д/с №12 педагогами ведется дополнительная образовательная  работа: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кружок по экологическому воспитанию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Юный эколог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»;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кружок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гостях у тетушки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Сказки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;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музыкально-театральная студия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Калейдоскоп улыбок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»;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музыкальный кружок с одаренными детьми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Музыкальный Олимп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»;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кружок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Домовенок Кузя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 приобщению детей к устному  народному творчеству;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93"/>
        </w:numPr>
        <w:spacing w:before="0" w:after="160" w:line="259"/>
        <w:ind w:right="0" w:left="1800" w:hanging="72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Оценка кадрового обеспечения.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Дошкольное учреждение укомплектовано педагогами на 100% согласно штатному расписанию. Всего в коллективе работают 14 человек. Педагогических коллектив дошкольного учреждения насчитывает 5 специалистов: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- 4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воспитателя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музыкальный руководитель.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Один педагог работает с высшей квалификационной категорией; два- соответствие занимаемой должности; один педагог- средне-специальное.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Курсы повышения квалификации дистанционно в 2023 году по дополнительной профессиональной программе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Внедрение ФОП: требование и особенности организации образовательного процесса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прошли все педагоги.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Педагоги постоянно повышают свой профессиональный уровень, эффективно участвуют в работе методических объединений, знакомятся с опытом работы своих коллег и других дошкольных учреждений, а также занимаемся самообразованием, принимаем личное участие в интернет-конкурсах. Все это в комплексе дает хороший результат в организации педагогической деятельности и улучшения качества образования и воспитания дошкольников.</w:t>
      </w:r>
    </w:p>
    <w:p>
      <w:pPr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Наши успехи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течении 2023-2024 учебного года педагогический коллектив и воспитанники были активными участниками разнообразных творческих конкурсов таких как: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Дети вместе с родителями участвовали в различных конкурсах: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Высшая школа делового администрирования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место Березовская Аня (всероссийский детский конкурс) 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октябрь 2023г.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 днем воспитателя!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место Березовская Аня (всероссийский детский конкурс)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октябрь 2023г.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Усатые, хвостатые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место Киселева Варя (всероссийский детский конкурс)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октябрь 2023г.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Мой папа- самый лучший!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Всероссийская патриотическая викторина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Диплом 1место Киселева Варя, октябрь 2023г.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Дружные народы России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Мир педагога: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Диплом лауреата 1степени Березовская Аня (всероссийский конкурс детско-юношеского творчества) октябрь 2023г.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Будущее России – в единстве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Диплом лауреата 1 степени Пикалов Сергей, март 2024г.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Наш дом-планета Земля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Берегите планету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Диплом лауреата 1степени Казарян Тереза, март 2024г.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Всероссийский конкурс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Подарок на 8 марта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Диплом участника Общероссийского детского конкурса. Росводресурсы.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Разноцветные капли-2023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Киселева Варя.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Диплом всероссийского детского конкура IT-перемена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Болотов Леня, 2место.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Домик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Новая жизнь фольги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Диплом лауреата 1степени Киселева Варя (международный творческий конкурс)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Бессмертие и слава Ленинграда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январь 2024г.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Диплом 1место, Киселева Варя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«23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Февраля-День российской Армии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Февраль 2024г.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Научно-образовательный центр педагогических проектов).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Грамота за знание пожарной безопасности ВДПО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Осетров Гриша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Март 2024г.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Диплом лауреата 1степени(всероссийский конкурс мастерства для воспитателей и специалистов ДОУ)-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Раннее развитие детей: от теории к практике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номинации: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Наглядное пособие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Мир педагога.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Участник онлайн семинара с 11.07.23-12.07.23гг. Высшая школа делового администрирования.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Диплом участника курса повышения квалификации. Инструменты Microsoft Office в работе педагога. 36часов. Форум Педагоги России.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Благодарственное письмо образовательного центра IT-перемена.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Новая жизнь фольги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Свидетельство о публикации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Звуковая культура речи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Сертификат участника обучающего курса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Организация взаимодействия с родителями воспитанников как условие реализации ФГОС дошкольного образования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Диплом куратора подготовки победителя Всероссийского конкурса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Жил да был снеговичек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Диплом куратора подготовки победителя Всероссийского конкурса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Зимняя сказка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Сертификат об успешном прохождении тестирования по теме: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Правила пожарной безопасности в образовательном учреждении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Сертификат участника семинара по теме: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Формирование экологического создания дошкольников как средство воспитания патриотизма в условиях реализации ФОП ДО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Сертификат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Формирование комфортной среды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Благодарственное письмо за подготовку участника Всероссийского конкурса, авторская работа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 праздником!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Дети и я участвовали в  конкурсах в фотовыставках, также в Всероссийских и Международных, имеются грамоты: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Стурова Валентина- лауреат 1 степени Всероссийского конкурса детского творчества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"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Жил да был снеговичек"-МИР ПЕДАГОГА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Недайвазова Милана- лауреат 1 степени Всероссийского конкурса детского творчества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"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Жил да был снеговичек"-МИР ПЕДАГОГА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Ененко Диана - лауреат 1 степени Всероссийского конкурса детского творчества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"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Жил да был снеговичек"-МИР ПЕДАГОГА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Рысев Тимур- 1 место во Всероссийском детском творческом конкурсе "Мой любимый снеговик" ВЫСШАЯ ШКОЛА ДЕЛОВОГО АДМИНИСТРИРОВАНИЯ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Лютова Екатерина -1 место во Всероссийском детском творческом конкурсе "Мой любимый снеговик" ВЫСШАЯ ШКОЛА ДЕЛОВОГО АДМИНИСТРИРОВАНИЯ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Носов Михаил - диплом победителя за успешное прохождение Всероссийской познавательной викторины "ВЕСЕЛАЯ ГОЛОВОЛОМКА"ВЫСШАЯ ШКОЛА ДЕЛОВОГО АДМИНИСТРИРОВАНИЯ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Тарасова Дарина - 1 место во Всероссийском детском творческом конкурсе, посвященном 8 Марта "Этот прекрасный женский день!"ВЫСШАЯ ШКОЛА ДЕЛОВОГО АДМИНИСТРИРОВАНИЯ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Стурова Валя - 1 место во Всероссийском детском творческом конкурсе, посвященном 8 Марта "Этот прекрасный женский день!"ВЫСШАЯ ШКОЛА ДЕЛОВОГО АДМИНИСТРИРОВАНИЯ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Рысев Тимур-1 место во Всероссийском детском творческом конкурсе, посвященном 8 Марта "Этот прекрасный женский день!"ВЫСШАЯ ШКОЛА ДЕЛОВОГО АДМИНИСТРИРОВАНИЯ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Медведева Ева-1 место во Всероссийском детском творческом конкурсе, посвященном 8 Марта "Этот прекрасный женский день!"ВЫСШАЯ ШКОЛА ДЕЛОВОГО АДМИНИСТРИРОВАНИЯ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Тарасова Дарина- диплом победителя за успешное прохождение Всероссийской познавательной викторины "МАСЛЕНИЦУ ВСТРЕЧАЕМ"ВЫСШАЯ ШКОЛА ДЕЛОВОГО АДМИНИСТРИРОВАНИЯ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Участие педагога: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ВШДА Сертификат участника онлайн-семинара №17533142"Профессиональное выгорание педагога. Особенности стресс-менеджмента в педагогической деятельности"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ВШДА Сертификат участника онлайн-семинара №21553743 "Здоровьесберегающие технологии в учебно-воспитательном процессе как ключевой компонент в решении основопологающих задач современной системы образования"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АНО "Санкт-Петербургский центр дополнительного профессионального образования" Всероссийский образовательный проект РАЗВИТИУМ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Сертификат участника обучающего курса № 297970 серия 041912 "Работа педагога с современными родителями как обязательное требование Профстандарта "Педагог""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АКТИОН Образование Сертификат участника вебинара "Федеральная образовательная программа дошкольного образования дорожная карта внедрения в образовательный процесс ДОО"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ВШДА Сертификат участника онлайн-семинара №84590625 "Игровые технологии в дошкольном образовании"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серия 041930 №297970 "Технологии эффективной коммуникации в работе современного воспитателя"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Международный образовательный портал "Престиж" Диплом лауреата 1 степени Всероссийского тестирования для педагогов "Разносторонность современного воспитателя"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Городское методическое юбъединение воспитателей- сертификат участника "Подготовка детей к обучению грамоте: современные подходы в крнтексте Федеральной образовательной программы дошкольного образования"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Сертификат участника семинара "Формирование экологического сознания дошкольников как средство воспитания патриотизма в условиях реализации ФОП ДО"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Городское методическое объединение Свидетельство участника в работе фестиваля педагогических практик "Подготовка детей к обучению грамоте"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Университет ДОБРО Сертификат успешного освоения курса "Волонтерство  в медецинской сфере. Базовый курс"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Университет ДОБРО Сертификат успешного освоения курса "Основы волонтерства для начинающих"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ВШДА Благодарственное письмо за подготовку обучающихся к участию во Всероссийской познавательной викторине "Масленицу встречай"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ВШДА Благодарственное письмо за подготовку обучающихся к участию во Всероссийском детском творческом конкурсе посвященном 8 Марта "Этот прекрасный женский день"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Центр - онлайн тестирования СФЕРА ПЕДАГОГИКИ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Сертификат об успешном прохождении тестирования по теме "Правила пожарной безопасности в образовательных учреждениях"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ВШДА Благодарственное письмо за подготовку обучающихся к участию во Всероссийской познавательной викторине "Веселая головоломка"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ВШДА Благодарственное письмо за подготовку обучающихся к участию во Всероссийском детском творческом конкурсе "Мой любимый снеговик"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ВШДА Удостоверение о повышении квалификации "Организация деятельности по профилактике детского дорожно-транспортного травматизма в дошкольных образовательных организациях"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Центр развития компитенций АТЕСТАТИКА Сертификат подтверждающий прохождение повышения квалификации по дополнительной профессиональной программе "Трудовое воспитание дошкольников в условиях современного образования"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Международный центр образования и педагогики Диплом победителя 1 место во Всероссийском конкурсе профессионального мастерства "Театр, как средство развития речи"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Международный центр образования и педагогики Диплом победителя конкурса "Педагогический талант"-Диплом: Зубарев Александр Сергеевич "музыка как искусство". 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Диплом Зубарев Александр Сергеевич " Победитель дисциплин ПДД" набрано баллов 16 из 16.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Диплом Никитин Ярослав Андреевич "Победитель дисциплин ПДД" набрано балов 16 из 16.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Диплом Никитин Ярослав Андреевич" Путешествия по странам Япония"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Сертификат Зубарев Александр Сергеевич "Неопалимая купина".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Сертификат Пальчикова Милана " Неопалимая купина "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Сертификат Плетенко Вера Николаевна "Неопалимая купина "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97"/>
        </w:numPr>
        <w:spacing w:before="0" w:after="160" w:line="259"/>
        <w:ind w:right="0" w:left="1800" w:hanging="72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Оценка учебно-методического и библиотечно-информационного обеспечения.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Библиотечный фонд располагается в методическом кабинете, группах дошкольного учреждения. Библиотечный фонд представлен методической литературой по всем образовательным областям образовательной программы, детской художественной литературой, периодическими изданиями, а также другими информационными ресурсами на различных электронных носителях. В каждой возрастной группе имеется банк необходимых учебно- методических пособий, рекомендованных для планирования образовательной работы в соответствии с обязательной частью ООП. Также оформлена подписка на газету: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Добрая дорога детства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имеются картины для рассматривания, плакаты, комплекты для оформления родительских уголков, рабочие тетради для обучающихся.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Оборудование и оснащение методического кабинета достаточно для реализации образовательной программы. В методическом кабинете созданы условия для возможности организации совместной деятельности педагогов. Однако кабинет недостаточно оснащен техническим и компьютерным оборудованием.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99"/>
        </w:numPr>
        <w:spacing w:before="0" w:after="160" w:line="259"/>
        <w:ind w:right="0" w:left="1800" w:hanging="72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Оценка материально-технической базы.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дошкольном учреждении сформирована материально-техническая база для реализации образовательных программ, жизнеобеспечения и развития детей. В ДОО оборудованы помещения: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групповые помещения -4;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кабинет заведующего-1;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методический кабинет-1;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кабинет бухгалтерии-1;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кабинет музыкального руководителя-1;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пищеблок-1;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прачечная-1;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медицинский кабинет-1.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 создании предметно развивающей среды воспитатели учитывают возрастные, индивидуальные особенности детей своей группы. Оборудованы групповые комнаты, включающие игровую, познавательную, обеденную зоны.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2023 году проведен текущий ремонт 4 групповых комнат, 4 туалетных комнат, сделан косметический ремонт в прачечной и пищеблока. Приобретено: костюмы сказочных героев, кухонная посуда из нержавеющей стали, многофункциональное устройство.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Материально-техническое состояние дошкольного учреждения и территории соответствует действующим санитарно-эпидемиологическим требованиям к устройству, содержанию и организации режима работы в дошкольных организациях, правилам пожарной безопасности, требованиям охраны труда.</w:t>
      </w:r>
    </w:p>
    <w:p>
      <w:pPr>
        <w:numPr>
          <w:ilvl w:val="0"/>
          <w:numId w:val="101"/>
        </w:numPr>
        <w:spacing w:before="0" w:after="160" w:line="259"/>
        <w:ind w:right="0" w:left="1800" w:hanging="72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Оценка функционирования внутренней системы оценки качества образования.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Мониторинг качества образовательной деятельности в 2023 году показал успешную работу педагогического коллектива по всем показателям.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Состояние здоровья и физического развития воспитанников удовлетворительные. Дети по результатам наблюдений педагогов успешно освоили образовательную программу дошкольного образования в своей возрастной группе. Воспитанники подготовительной группы показали высокие показатели готовности к школьному обучению. 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Проводилось анкетирование 44 семей, получены следующие результаты: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положительно оценивают качество образования и воспитания в ДОО-100%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удовлетворены профессионализмом педагогического коллектива организации-100%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положительно оценивают качество организации учебно-воспитательного процесса-98%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положительно оценивают качество взаимоотношений воспитателя с детьми-98%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удовлетворены степенью соблюдения санитарно-гигиенических норм-96%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удовлетворены степенью информированности о событиях, происходящих в саду, в группе, с ребенком-100%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удовлетворены степенью осуществления индивидуального подхода к детям-97%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положительно оценивают качество использования современных методов и средств обучения-97%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Анкетирование показало высокую степень удовлетворенности качеством предоставляемых услуг.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Результаты анализа показателей деятельности организации</w:t>
      </w:r>
    </w:p>
    <w:tbl>
      <w:tblPr/>
      <w:tblGrid>
        <w:gridCol w:w="3115"/>
        <w:gridCol w:w="3115"/>
        <w:gridCol w:w="3115"/>
      </w:tblGrid>
      <w:tr>
        <w:trPr>
          <w:trHeight w:val="1" w:hRule="atLeast"/>
          <w:jc w:val="left"/>
        </w:trPr>
        <w:tc>
          <w:tcPr>
            <w:tcW w:w="31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Показатели </w:t>
            </w:r>
          </w:p>
        </w:tc>
        <w:tc>
          <w:tcPr>
            <w:tcW w:w="31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Единица измерения</w:t>
            </w:r>
          </w:p>
        </w:tc>
        <w:tc>
          <w:tcPr>
            <w:tcW w:w="31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Количество</w:t>
            </w:r>
          </w:p>
        </w:tc>
      </w:tr>
      <w:tr>
        <w:trPr>
          <w:trHeight w:val="1" w:hRule="atLeast"/>
          <w:jc w:val="left"/>
        </w:trPr>
        <w:tc>
          <w:tcPr>
            <w:tcW w:w="31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Образовательная </w:t>
            </w:r>
          </w:p>
        </w:tc>
        <w:tc>
          <w:tcPr>
            <w:tcW w:w="31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деятельность</w:t>
            </w:r>
          </w:p>
        </w:tc>
        <w:tc>
          <w:tcPr>
            <w:tcW w:w="31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1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Общее количество воспитанников, которые обучаются по программе дошкольного образования в том числе обучающиеся в режиме полного дня (8-12) часов</w:t>
            </w:r>
          </w:p>
        </w:tc>
        <w:tc>
          <w:tcPr>
            <w:tcW w:w="31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человек</w:t>
            </w:r>
          </w:p>
        </w:tc>
        <w:tc>
          <w:tcPr>
            <w:tcW w:w="31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53</w:t>
            </w:r>
          </w:p>
        </w:tc>
      </w:tr>
      <w:tr>
        <w:trPr>
          <w:trHeight w:val="1" w:hRule="atLeast"/>
          <w:jc w:val="left"/>
        </w:trPr>
        <w:tc>
          <w:tcPr>
            <w:tcW w:w="31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 режиме кратковременного пребывания (3-5) часов</w:t>
            </w:r>
          </w:p>
        </w:tc>
        <w:tc>
          <w:tcPr>
            <w:tcW w:w="31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0</w:t>
            </w:r>
          </w:p>
        </w:tc>
      </w:tr>
      <w:tr>
        <w:trPr>
          <w:trHeight w:val="1" w:hRule="atLeast"/>
          <w:jc w:val="left"/>
        </w:trPr>
        <w:tc>
          <w:tcPr>
            <w:tcW w:w="31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 семейной дошкольной группе</w:t>
            </w:r>
          </w:p>
        </w:tc>
        <w:tc>
          <w:tcPr>
            <w:tcW w:w="31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0</w:t>
            </w:r>
          </w:p>
        </w:tc>
      </w:tr>
      <w:tr>
        <w:trPr>
          <w:trHeight w:val="1" w:hRule="atLeast"/>
          <w:jc w:val="left"/>
        </w:trPr>
        <w:tc>
          <w:tcPr>
            <w:tcW w:w="31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 форме семейного образования с психолого-педагогическим сопровождением, которое организует детский сад</w:t>
            </w:r>
          </w:p>
        </w:tc>
        <w:tc>
          <w:tcPr>
            <w:tcW w:w="31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0</w:t>
            </w:r>
          </w:p>
        </w:tc>
      </w:tr>
      <w:tr>
        <w:trPr>
          <w:trHeight w:val="1" w:hRule="atLeast"/>
          <w:jc w:val="left"/>
        </w:trPr>
        <w:tc>
          <w:tcPr>
            <w:tcW w:w="31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Общее количество воспитанников в возрасте до трех лет</w:t>
            </w:r>
          </w:p>
        </w:tc>
        <w:tc>
          <w:tcPr>
            <w:tcW w:w="31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10</w:t>
            </w:r>
          </w:p>
        </w:tc>
      </w:tr>
      <w:tr>
        <w:trPr>
          <w:trHeight w:val="1" w:hRule="atLeast"/>
          <w:jc w:val="left"/>
        </w:trPr>
        <w:tc>
          <w:tcPr>
            <w:tcW w:w="31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Общее количество воспитанников в возрасте от трех до восьми лет</w:t>
            </w:r>
          </w:p>
        </w:tc>
        <w:tc>
          <w:tcPr>
            <w:tcW w:w="31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человек</w:t>
            </w:r>
          </w:p>
        </w:tc>
        <w:tc>
          <w:tcPr>
            <w:tcW w:w="31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43</w:t>
            </w:r>
          </w:p>
        </w:tc>
      </w:tr>
      <w:tr>
        <w:trPr>
          <w:trHeight w:val="1" w:hRule="atLeast"/>
          <w:jc w:val="left"/>
        </w:trPr>
        <w:tc>
          <w:tcPr>
            <w:tcW w:w="31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Количество (удельный вес) детей от общей численности воспитанников, которые получают услуги присмотра и ухода, в том числе в группах 8-12 часового пребывания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                                                                          </w:t>
            </w:r>
          </w:p>
        </w:tc>
        <w:tc>
          <w:tcPr>
            <w:tcW w:w="31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человек</w:t>
            </w:r>
          </w:p>
        </w:tc>
        <w:tc>
          <w:tcPr>
            <w:tcW w:w="31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53(100%)</w:t>
            </w:r>
          </w:p>
        </w:tc>
      </w:tr>
      <w:tr>
        <w:trPr>
          <w:trHeight w:val="1" w:hRule="atLeast"/>
          <w:jc w:val="left"/>
        </w:trPr>
        <w:tc>
          <w:tcPr>
            <w:tcW w:w="31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12-14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часового пребывания</w:t>
            </w:r>
          </w:p>
        </w:tc>
        <w:tc>
          <w:tcPr>
            <w:tcW w:w="31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человек</w:t>
            </w:r>
          </w:p>
        </w:tc>
        <w:tc>
          <w:tcPr>
            <w:tcW w:w="31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0(0%)</w:t>
            </w:r>
          </w:p>
        </w:tc>
      </w:tr>
      <w:tr>
        <w:trPr>
          <w:trHeight w:val="1" w:hRule="atLeast"/>
          <w:jc w:val="left"/>
        </w:trPr>
        <w:tc>
          <w:tcPr>
            <w:tcW w:w="31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Круглосуточного пребывания</w:t>
            </w:r>
          </w:p>
        </w:tc>
        <w:tc>
          <w:tcPr>
            <w:tcW w:w="31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человек</w:t>
            </w:r>
          </w:p>
        </w:tc>
        <w:tc>
          <w:tcPr>
            <w:tcW w:w="31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0(0%)</w:t>
            </w:r>
          </w:p>
        </w:tc>
      </w:tr>
      <w:tr>
        <w:trPr>
          <w:trHeight w:val="1" w:hRule="atLeast"/>
          <w:jc w:val="left"/>
        </w:trPr>
        <w:tc>
          <w:tcPr>
            <w:tcW w:w="31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Численность (удельный вес) воспитанников с ОВЗ от общей численности воспитанников, которые получают услуги: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 коррекции недостатков физического, психологического развития</w:t>
            </w:r>
          </w:p>
        </w:tc>
        <w:tc>
          <w:tcPr>
            <w:tcW w:w="31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человек</w:t>
            </w:r>
          </w:p>
        </w:tc>
        <w:tc>
          <w:tcPr>
            <w:tcW w:w="31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0(0%)</w:t>
            </w:r>
          </w:p>
        </w:tc>
      </w:tr>
      <w:tr>
        <w:trPr>
          <w:trHeight w:val="1" w:hRule="atLeast"/>
          <w:jc w:val="left"/>
        </w:trPr>
        <w:tc>
          <w:tcPr>
            <w:tcW w:w="31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Обучение по образовательной программе дошкольного образования</w:t>
            </w:r>
          </w:p>
        </w:tc>
        <w:tc>
          <w:tcPr>
            <w:tcW w:w="31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человек</w:t>
            </w:r>
          </w:p>
        </w:tc>
        <w:tc>
          <w:tcPr>
            <w:tcW w:w="31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0(0%)</w:t>
            </w:r>
          </w:p>
        </w:tc>
      </w:tr>
      <w:tr>
        <w:trPr>
          <w:trHeight w:val="1" w:hRule="atLeast"/>
          <w:jc w:val="left"/>
        </w:trPr>
        <w:tc>
          <w:tcPr>
            <w:tcW w:w="31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Присмотру и уходу</w:t>
            </w:r>
          </w:p>
        </w:tc>
        <w:tc>
          <w:tcPr>
            <w:tcW w:w="31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человек</w:t>
            </w:r>
          </w:p>
        </w:tc>
        <w:tc>
          <w:tcPr>
            <w:tcW w:w="31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0(0%)</w:t>
            </w:r>
          </w:p>
        </w:tc>
      </w:tr>
      <w:tr>
        <w:trPr>
          <w:trHeight w:val="1" w:hRule="atLeast"/>
          <w:jc w:val="left"/>
        </w:trPr>
        <w:tc>
          <w:tcPr>
            <w:tcW w:w="31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Средний показатель пропущенных по болезни дней на одного воспитанника</w:t>
            </w:r>
          </w:p>
        </w:tc>
        <w:tc>
          <w:tcPr>
            <w:tcW w:w="31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день</w:t>
            </w:r>
          </w:p>
        </w:tc>
        <w:tc>
          <w:tcPr>
            <w:tcW w:w="31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1,2</w:t>
            </w:r>
          </w:p>
        </w:tc>
      </w:tr>
      <w:tr>
        <w:trPr>
          <w:trHeight w:val="1" w:hRule="atLeast"/>
          <w:jc w:val="left"/>
        </w:trPr>
        <w:tc>
          <w:tcPr>
            <w:tcW w:w="31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Общая численность педагогических работников, в том числе с высшим образованием</w:t>
            </w:r>
          </w:p>
        </w:tc>
        <w:tc>
          <w:tcPr>
            <w:tcW w:w="31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человек</w:t>
            </w:r>
          </w:p>
        </w:tc>
        <w:tc>
          <w:tcPr>
            <w:tcW w:w="31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</w:tr>
      <w:tr>
        <w:trPr>
          <w:trHeight w:val="1" w:hRule="atLeast"/>
          <w:jc w:val="left"/>
        </w:trPr>
        <w:tc>
          <w:tcPr>
            <w:tcW w:w="31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Высшим образованием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Педагогической направленности (профиля)</w:t>
            </w:r>
          </w:p>
        </w:tc>
        <w:tc>
          <w:tcPr>
            <w:tcW w:w="31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</w:tr>
      <w:tr>
        <w:trPr>
          <w:trHeight w:val="1" w:hRule="atLeast"/>
          <w:jc w:val="left"/>
        </w:trPr>
        <w:tc>
          <w:tcPr>
            <w:tcW w:w="31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Средним профессиональным образованием</w:t>
            </w:r>
          </w:p>
        </w:tc>
        <w:tc>
          <w:tcPr>
            <w:tcW w:w="31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</w:tbl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tbl>
      <w:tblPr/>
      <w:tblGrid>
        <w:gridCol w:w="3115"/>
        <w:gridCol w:w="3115"/>
        <w:gridCol w:w="3115"/>
      </w:tblGrid>
      <w:tr>
        <w:trPr>
          <w:trHeight w:val="1" w:hRule="atLeast"/>
          <w:jc w:val="left"/>
        </w:trPr>
        <w:tc>
          <w:tcPr>
            <w:tcW w:w="31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Средним профессиональным педагогической направленности (профиля)</w:t>
            </w:r>
          </w:p>
        </w:tc>
        <w:tc>
          <w:tcPr>
            <w:tcW w:w="31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</w:tr>
      <w:tr>
        <w:trPr>
          <w:trHeight w:val="1" w:hRule="atLeast"/>
          <w:jc w:val="left"/>
        </w:trPr>
        <w:tc>
          <w:tcPr>
            <w:tcW w:w="31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Количество (удельный вес численности)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 высшей</w:t>
            </w:r>
          </w:p>
        </w:tc>
        <w:tc>
          <w:tcPr>
            <w:tcW w:w="31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Человек (процент)</w:t>
            </w:r>
          </w:p>
        </w:tc>
        <w:tc>
          <w:tcPr>
            <w:tcW w:w="31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1(25%)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1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 первой</w:t>
            </w:r>
          </w:p>
        </w:tc>
        <w:tc>
          <w:tcPr>
            <w:tcW w:w="31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0(0%)</w:t>
            </w:r>
          </w:p>
        </w:tc>
      </w:tr>
      <w:tr>
        <w:trPr>
          <w:trHeight w:val="1" w:hRule="atLeast"/>
          <w:jc w:val="left"/>
        </w:trPr>
        <w:tc>
          <w:tcPr>
            <w:tcW w:w="31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Количество (удельный вес численности) педагогических работников в общей численности педработников , стаж которых составляет: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До 5 лет(молодой специалист)</w:t>
            </w:r>
          </w:p>
        </w:tc>
        <w:tc>
          <w:tcPr>
            <w:tcW w:w="31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1(25%)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1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Более 30 лет</w:t>
            </w:r>
          </w:p>
        </w:tc>
        <w:tc>
          <w:tcPr>
            <w:tcW w:w="31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1(25%)</w:t>
            </w:r>
          </w:p>
        </w:tc>
      </w:tr>
      <w:tr>
        <w:trPr>
          <w:trHeight w:val="1" w:hRule="atLeast"/>
          <w:jc w:val="left"/>
        </w:trPr>
        <w:tc>
          <w:tcPr>
            <w:tcW w:w="31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Количество (удельный вес численности) педагогических работников в общей численности педработников в возрасте: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До 30 лет </w:t>
            </w:r>
          </w:p>
        </w:tc>
        <w:tc>
          <w:tcPr>
            <w:tcW w:w="31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1(25%)</w:t>
            </w:r>
          </w:p>
        </w:tc>
      </w:tr>
      <w:tr>
        <w:trPr>
          <w:trHeight w:val="1" w:hRule="atLeast"/>
          <w:jc w:val="left"/>
        </w:trPr>
        <w:tc>
          <w:tcPr>
            <w:tcW w:w="31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От 55 лет</w:t>
            </w:r>
          </w:p>
        </w:tc>
        <w:tc>
          <w:tcPr>
            <w:tcW w:w="31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1(25%)</w:t>
            </w:r>
          </w:p>
        </w:tc>
      </w:tr>
      <w:tr>
        <w:trPr>
          <w:trHeight w:val="1" w:hRule="atLeast"/>
          <w:jc w:val="left"/>
        </w:trPr>
        <w:tc>
          <w:tcPr>
            <w:tcW w:w="31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Численность (удельный вес) педагогических и административно-хозяйственных работников, которые за последние 5 лет прошли повышение квалификации или профессиональную переподготовку, от общей численности таких работников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31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8(100%)</w:t>
            </w:r>
          </w:p>
        </w:tc>
      </w:tr>
    </w:tbl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tbl>
      <w:tblPr/>
      <w:tblGrid>
        <w:gridCol w:w="3115"/>
        <w:gridCol w:w="3115"/>
        <w:gridCol w:w="3115"/>
      </w:tblGrid>
      <w:tr>
        <w:trPr>
          <w:trHeight w:val="1" w:hRule="atLeast"/>
          <w:jc w:val="left"/>
        </w:trPr>
        <w:tc>
          <w:tcPr>
            <w:tcW w:w="31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Численность (удельный вес) педагогических и административно-хозяйственных работников, которые прошли повышение квалификации по применению в образовательном процессе ФГОС, от общей численности таких работников</w:t>
            </w:r>
          </w:p>
        </w:tc>
        <w:tc>
          <w:tcPr>
            <w:tcW w:w="31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8(100%)</w:t>
            </w:r>
          </w:p>
        </w:tc>
      </w:tr>
      <w:tr>
        <w:trPr>
          <w:trHeight w:val="1" w:hRule="atLeast"/>
          <w:jc w:val="left"/>
        </w:trPr>
        <w:tc>
          <w:tcPr>
            <w:tcW w:w="31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Соотношение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педагогический работник/воспитанник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</w:tc>
        <w:tc>
          <w:tcPr>
            <w:tcW w:w="31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Человек/человек</w:t>
            </w:r>
          </w:p>
        </w:tc>
        <w:tc>
          <w:tcPr>
            <w:tcW w:w="31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4/53</w:t>
            </w:r>
          </w:p>
        </w:tc>
      </w:tr>
      <w:tr>
        <w:trPr>
          <w:trHeight w:val="1" w:hRule="atLeast"/>
          <w:jc w:val="left"/>
        </w:trPr>
        <w:tc>
          <w:tcPr>
            <w:tcW w:w="31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Наличие в детском саду музыкального руководителя</w:t>
            </w:r>
          </w:p>
        </w:tc>
        <w:tc>
          <w:tcPr>
            <w:tcW w:w="31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Да/нет</w:t>
            </w:r>
          </w:p>
        </w:tc>
        <w:tc>
          <w:tcPr>
            <w:tcW w:w="31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да</w:t>
            </w:r>
          </w:p>
        </w:tc>
      </w:tr>
      <w:tr>
        <w:trPr>
          <w:trHeight w:val="1" w:hRule="atLeast"/>
          <w:jc w:val="left"/>
        </w:trPr>
        <w:tc>
          <w:tcPr>
            <w:tcW w:w="31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Инструктора по физической культуре</w:t>
            </w:r>
          </w:p>
        </w:tc>
        <w:tc>
          <w:tcPr>
            <w:tcW w:w="31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нет</w:t>
            </w:r>
          </w:p>
        </w:tc>
      </w:tr>
      <w:tr>
        <w:trPr>
          <w:trHeight w:val="1" w:hRule="atLeast"/>
          <w:jc w:val="left"/>
        </w:trPr>
        <w:tc>
          <w:tcPr>
            <w:tcW w:w="31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Учителя-логопеда</w:t>
            </w:r>
          </w:p>
        </w:tc>
        <w:tc>
          <w:tcPr>
            <w:tcW w:w="31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нет</w:t>
            </w:r>
          </w:p>
        </w:tc>
      </w:tr>
      <w:tr>
        <w:trPr>
          <w:trHeight w:val="1" w:hRule="atLeast"/>
          <w:jc w:val="left"/>
        </w:trPr>
        <w:tc>
          <w:tcPr>
            <w:tcW w:w="31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Учителя-дефектолога</w:t>
            </w:r>
          </w:p>
        </w:tc>
        <w:tc>
          <w:tcPr>
            <w:tcW w:w="31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нет</w:t>
            </w:r>
          </w:p>
        </w:tc>
      </w:tr>
      <w:tr>
        <w:trPr>
          <w:trHeight w:val="1" w:hRule="atLeast"/>
          <w:jc w:val="left"/>
        </w:trPr>
        <w:tc>
          <w:tcPr>
            <w:tcW w:w="31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Педагога-психолога</w:t>
            </w:r>
          </w:p>
        </w:tc>
        <w:tc>
          <w:tcPr>
            <w:tcW w:w="31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нет</w:t>
            </w:r>
          </w:p>
        </w:tc>
      </w:tr>
      <w:tr>
        <w:trPr>
          <w:trHeight w:val="1" w:hRule="atLeast"/>
          <w:jc w:val="left"/>
        </w:trPr>
        <w:tc>
          <w:tcPr>
            <w:tcW w:w="31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Инфраструктура</w:t>
            </w:r>
          </w:p>
        </w:tc>
        <w:tc>
          <w:tcPr>
            <w:tcW w:w="31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1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31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Кв.м</w:t>
            </w:r>
          </w:p>
        </w:tc>
        <w:tc>
          <w:tcPr>
            <w:tcW w:w="31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3,2</w:t>
            </w:r>
          </w:p>
        </w:tc>
      </w:tr>
      <w:tr>
        <w:trPr>
          <w:trHeight w:val="1" w:hRule="atLeast"/>
          <w:jc w:val="left"/>
        </w:trPr>
        <w:tc>
          <w:tcPr>
            <w:tcW w:w="31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Наличие в детском саду: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Физкультурного зала</w:t>
            </w:r>
          </w:p>
        </w:tc>
        <w:tc>
          <w:tcPr>
            <w:tcW w:w="31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Да/нет</w:t>
            </w:r>
          </w:p>
        </w:tc>
        <w:tc>
          <w:tcPr>
            <w:tcW w:w="31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нет</w:t>
            </w:r>
          </w:p>
        </w:tc>
      </w:tr>
      <w:tr>
        <w:trPr>
          <w:trHeight w:val="1" w:hRule="atLeast"/>
          <w:jc w:val="left"/>
        </w:trPr>
        <w:tc>
          <w:tcPr>
            <w:tcW w:w="31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Музыкального зала</w:t>
            </w:r>
          </w:p>
        </w:tc>
        <w:tc>
          <w:tcPr>
            <w:tcW w:w="31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нет</w:t>
            </w:r>
          </w:p>
        </w:tc>
      </w:tr>
      <w:tr>
        <w:trPr>
          <w:trHeight w:val="1" w:hRule="atLeast"/>
          <w:jc w:val="left"/>
        </w:trPr>
        <w:tc>
          <w:tcPr>
            <w:tcW w:w="31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Прогулочных площадок, которые оснащены так , чтобы обеспечить потребность воспитанников в физической активности и игровой деятельности на улице</w:t>
            </w:r>
          </w:p>
        </w:tc>
        <w:tc>
          <w:tcPr>
            <w:tcW w:w="31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да</w:t>
            </w:r>
          </w:p>
        </w:tc>
      </w:tr>
    </w:tbl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Анализ показателей указывает на то, что дошкольное учреждение имеет достаточную инфраструктуру, которая соответствует требованиям СанПин 2.4.3648-20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Санитарно-эпидемиологические требования к организации воспитания и обучения, отдыха и оздоровления детей и молодежи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 позволяет реализовывать образовательные программы в полном объеме в соответствии с ФГОС ДО.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Вывод: Педагогами МБДОУ д/с №12 в течении 2023-2024 учебного года осуществлялась планомерная и систематическая работа по развитию и воспитанию детей раннего и дошкольного возраста. У воспитанников прослеживается положительная динамика по всем направлениям ФГОС ДО.       Материал образовательной программы Н.Е.Вераксы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 рождения до школы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хорошо усвоен детьми  по всем разделам.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num w:numId="28">
    <w:abstractNumId w:val="42"/>
  </w:num>
  <w:num w:numId="42">
    <w:abstractNumId w:val="36"/>
  </w:num>
  <w:num w:numId="76">
    <w:abstractNumId w:val="30"/>
  </w:num>
  <w:num w:numId="90">
    <w:abstractNumId w:val="24"/>
  </w:num>
  <w:num w:numId="93">
    <w:abstractNumId w:val="18"/>
  </w:num>
  <w:num w:numId="97">
    <w:abstractNumId w:val="12"/>
  </w:num>
  <w:num w:numId="99">
    <w:abstractNumId w:val="6"/>
  </w:num>
  <w:num w:numId="101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https://zolosh12.tvoysadik.ru/" Id="docRId0" Type="http://schemas.openxmlformats.org/officeDocument/2006/relationships/hyperlink"/><Relationship Target="numbering.xml" Id="docRId1" Type="http://schemas.openxmlformats.org/officeDocument/2006/relationships/numbering"/><Relationship Target="styles.xml" Id="docRId2" Type="http://schemas.openxmlformats.org/officeDocument/2006/relationships/styles"/></Relationships>
</file>